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HAnsi" w:hAnsiTheme="minorHAnsi"/>
          <w:b/>
          <w:sz w:val="32"/>
          <w:szCs w:val="32"/>
          <w:lang w:val="en-GB"/>
        </w:rPr>
      </w:pPr>
      <w:r>
        <w:rPr>
          <w:rFonts w:asciiTheme="minorHAnsi" w:hAnsiTheme="minorHAnsi"/>
          <w:b/>
          <w:sz w:val="32"/>
          <w:szCs w:val="32"/>
        </w:rPr>
        <mc:AlternateContent>
          <mc:Choice Requires="wps">
            <w:drawing>
              <wp:anchor distT="0" distB="0" distL="114300" distR="114300" simplePos="0" relativeHeight="251659264" behindDoc="0" locked="0" layoutInCell="1" allowOverlap="1">
                <wp:simplePos x="0" y="0"/>
                <wp:positionH relativeFrom="page">
                  <wp:posOffset>958850</wp:posOffset>
                </wp:positionH>
                <wp:positionV relativeFrom="page">
                  <wp:posOffset>396240</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31.2pt;height:22.1pt;width:207.5pt;mso-position-horizontal-relative:page;mso-position-vertical-relative:page;z-index:251659264;mso-width-relative:page;mso-height-relative:page;" fillcolor="#FFFFFF" filled="t" stroked="f" coordsize="21600,21600" o:gfxdata="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0f61AAAAAo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inorHAnsi" w:hAnsiTheme="minorHAnsi"/>
          <w:b/>
          <w:sz w:val="32"/>
          <w:szCs w:val="32"/>
          <w:lang w:val="en-GB"/>
        </w:rPr>
        <w:t>无损检测教学大纲</w:t>
      </w:r>
    </w:p>
    <w:p>
      <w:pPr>
        <w:shd w:val="clear" w:color="auto" w:fill="F5F5F5"/>
        <w:jc w:val="center"/>
        <w:textAlignment w:val="top"/>
        <w:rPr>
          <w:rFonts w:cs="Arial" w:asciiTheme="minorHAnsi" w:hAnsiTheme="minorHAnsi"/>
          <w:color w:val="888888"/>
          <w:kern w:val="0"/>
          <w:sz w:val="24"/>
          <w:szCs w:val="24"/>
          <w:lang w:val="en-GB"/>
        </w:rPr>
      </w:pPr>
      <w:r>
        <w:rPr>
          <w:rFonts w:asciiTheme="minorHAnsi" w:hAnsiTheme="minorHAnsi"/>
          <w:b/>
          <w:sz w:val="24"/>
          <w:szCs w:val="24"/>
          <w:lang w:val="en-GB"/>
        </w:rPr>
        <w:t>【Non-Destructive Testing Methods】</w:t>
      </w:r>
      <w:bookmarkStart w:id="0" w:name="a2"/>
      <w:bookmarkEnd w:id="0"/>
    </w:p>
    <w:p>
      <w:pPr>
        <w:pStyle w:val="11"/>
        <w:numPr>
          <w:ilvl w:val="0"/>
          <w:numId w:val="1"/>
        </w:numPr>
        <w:spacing w:before="156" w:beforeLines="50" w:after="156" w:afterLines="50" w:line="288" w:lineRule="auto"/>
        <w:ind w:left="426" w:hanging="426"/>
        <w:rPr>
          <w:rFonts w:asciiTheme="minorHAnsi" w:hAnsiTheme="minorHAnsi"/>
          <w:b/>
          <w:color w:val="008080"/>
          <w:sz w:val="24"/>
          <w:szCs w:val="24"/>
          <w:lang w:val="en-GB"/>
        </w:rPr>
      </w:pPr>
      <w:r>
        <w:rPr>
          <w:rFonts w:eastAsia="黑体" w:asciiTheme="minorHAnsi" w:hAnsiTheme="minorHAnsi"/>
          <w:b/>
          <w:sz w:val="24"/>
          <w:szCs w:val="24"/>
          <w:lang w:val="en-GB"/>
        </w:rPr>
        <w:t>Basic Information</w:t>
      </w:r>
    </w:p>
    <w:p>
      <w:pPr>
        <w:snapToGrid w:val="0"/>
        <w:spacing w:line="288" w:lineRule="auto"/>
        <w:ind w:firstLine="420"/>
        <w:rPr>
          <w:rFonts w:hint="eastAsia" w:eastAsia="宋体" w:asciiTheme="minorHAnsi" w:hAnsiTheme="minorHAnsi"/>
          <w:color w:val="000000"/>
          <w:sz w:val="24"/>
          <w:szCs w:val="24"/>
          <w:lang w:val="en-GB" w:eastAsia="zh-CN"/>
        </w:rPr>
      </w:pPr>
      <w:r>
        <w:rPr>
          <w:rFonts w:asciiTheme="minorHAnsi" w:hAnsiTheme="minorHAnsi"/>
          <w:color w:val="000000"/>
          <w:sz w:val="24"/>
          <w:szCs w:val="24"/>
          <w:lang w:val="en-GB"/>
        </w:rPr>
        <w:t>Course Number</w:t>
      </w:r>
      <w:r>
        <w:rPr>
          <w:rFonts w:hint="eastAsia" w:asciiTheme="minorHAnsi" w:hAnsiTheme="minorHAnsi"/>
          <w:color w:val="000000"/>
          <w:sz w:val="24"/>
          <w:szCs w:val="24"/>
          <w:lang w:val="en-GB" w:eastAsia="zh-CN"/>
        </w:rPr>
        <w:t>：2080428</w:t>
      </w:r>
      <w:bookmarkStart w:id="1" w:name="_GoBack"/>
      <w:bookmarkEnd w:id="1"/>
    </w:p>
    <w:p>
      <w:pPr>
        <w:snapToGrid w:val="0"/>
        <w:spacing w:line="288" w:lineRule="auto"/>
        <w:ind w:firstLine="420"/>
        <w:rPr>
          <w:rFonts w:asciiTheme="minorHAnsi" w:hAnsiTheme="minorHAnsi"/>
          <w:color w:val="000000"/>
          <w:sz w:val="24"/>
          <w:szCs w:val="24"/>
          <w:lang w:val="en-GB"/>
        </w:rPr>
      </w:pPr>
      <w:r>
        <w:rPr>
          <w:rFonts w:asciiTheme="minorHAnsi" w:hAnsiTheme="minorHAnsi"/>
          <w:color w:val="000000"/>
          <w:sz w:val="24"/>
          <w:szCs w:val="24"/>
          <w:lang w:val="en-GB"/>
        </w:rPr>
        <w:t>Credit</w:t>
      </w:r>
      <w:r>
        <w:rPr>
          <w:rFonts w:asciiTheme="minorHAnsi" w:hAnsiTheme="minorHAnsi"/>
          <w:b/>
          <w:bCs/>
          <w:color w:val="000000"/>
          <w:sz w:val="24"/>
          <w:szCs w:val="24"/>
          <w:lang w:val="en-GB"/>
        </w:rPr>
        <w:t>：</w:t>
      </w:r>
      <w:r>
        <w:rPr>
          <w:rFonts w:asciiTheme="minorHAnsi" w:hAnsiTheme="minorHAnsi"/>
          <w:color w:val="000000"/>
          <w:sz w:val="24"/>
          <w:szCs w:val="24"/>
          <w:lang w:val="en-GB"/>
        </w:rPr>
        <w:t>【4】</w:t>
      </w:r>
    </w:p>
    <w:p>
      <w:pPr>
        <w:snapToGrid w:val="0"/>
        <w:spacing w:line="288" w:lineRule="auto"/>
        <w:ind w:firstLine="420"/>
        <w:rPr>
          <w:rFonts w:asciiTheme="minorHAnsi" w:hAnsiTheme="minorHAnsi"/>
          <w:color w:val="000000"/>
          <w:sz w:val="24"/>
          <w:szCs w:val="24"/>
          <w:lang w:val="en-GB"/>
        </w:rPr>
      </w:pPr>
      <w:r>
        <w:rPr>
          <w:rFonts w:asciiTheme="minorHAnsi" w:hAnsiTheme="minorHAnsi"/>
          <w:color w:val="000000"/>
          <w:sz w:val="24"/>
          <w:szCs w:val="24"/>
          <w:lang w:val="en-GB"/>
        </w:rPr>
        <w:t>Applicable Subject：【Mechanical Engineering】</w:t>
      </w:r>
    </w:p>
    <w:p>
      <w:pPr>
        <w:snapToGrid w:val="0"/>
        <w:spacing w:line="288" w:lineRule="auto"/>
        <w:ind w:firstLine="420"/>
        <w:rPr>
          <w:rFonts w:asciiTheme="minorHAnsi" w:hAnsiTheme="minorHAnsi"/>
          <w:color w:val="000000"/>
          <w:sz w:val="24"/>
          <w:szCs w:val="24"/>
          <w:lang w:val="en-GB"/>
        </w:rPr>
      </w:pPr>
      <w:r>
        <w:rPr>
          <w:rFonts w:asciiTheme="minorHAnsi" w:hAnsiTheme="minorHAnsi"/>
          <w:color w:val="000000"/>
          <w:sz w:val="24"/>
          <w:szCs w:val="24"/>
          <w:lang w:val="en-GB"/>
        </w:rPr>
        <w:t>Course Nature:【Department Core Course】</w:t>
      </w:r>
    </w:p>
    <w:p>
      <w:pPr>
        <w:snapToGrid w:val="0"/>
        <w:spacing w:line="288" w:lineRule="auto"/>
        <w:ind w:firstLine="420"/>
        <w:rPr>
          <w:rFonts w:asciiTheme="minorHAnsi" w:hAnsiTheme="minorHAnsi"/>
          <w:bCs/>
          <w:color w:val="000000"/>
          <w:sz w:val="24"/>
          <w:szCs w:val="24"/>
          <w:lang w:val="en-GB"/>
        </w:rPr>
      </w:pPr>
      <w:r>
        <w:rPr>
          <w:rFonts w:asciiTheme="minorHAnsi" w:hAnsiTheme="minorHAnsi"/>
          <w:bCs/>
          <w:color w:val="000000"/>
          <w:sz w:val="24"/>
          <w:szCs w:val="24"/>
          <w:lang w:val="en-GB"/>
        </w:rPr>
        <w:t>College: Mechanical and Electronic Engineering</w:t>
      </w:r>
    </w:p>
    <w:p>
      <w:pPr>
        <w:snapToGrid w:val="0"/>
        <w:spacing w:line="288" w:lineRule="auto"/>
        <w:ind w:firstLine="420"/>
        <w:rPr>
          <w:rFonts w:asciiTheme="minorHAnsi" w:hAnsiTheme="minorHAnsi"/>
          <w:color w:val="000000"/>
          <w:sz w:val="24"/>
          <w:szCs w:val="24"/>
          <w:lang w:val="en-GB"/>
        </w:rPr>
      </w:pPr>
      <w:r>
        <w:rPr>
          <w:rFonts w:asciiTheme="minorHAnsi" w:hAnsiTheme="minorHAnsi"/>
          <w:b/>
          <w:bCs/>
          <w:color w:val="000000"/>
          <w:sz w:val="24"/>
          <w:szCs w:val="24"/>
          <w:lang w:val="en-GB"/>
        </w:rPr>
        <w:t>Textbook References:</w:t>
      </w:r>
    </w:p>
    <w:p>
      <w:pPr>
        <w:pStyle w:val="11"/>
        <w:numPr>
          <w:ilvl w:val="0"/>
          <w:numId w:val="2"/>
        </w:numPr>
        <w:snapToGrid w:val="0"/>
        <w:spacing w:line="288" w:lineRule="auto"/>
        <w:rPr>
          <w:rFonts w:asciiTheme="minorHAnsi" w:hAnsiTheme="minorHAnsi"/>
          <w:color w:val="000000"/>
          <w:sz w:val="24"/>
          <w:szCs w:val="24"/>
          <w:lang w:val="en-GB"/>
        </w:rPr>
      </w:pPr>
      <w:r>
        <w:rPr>
          <w:rFonts w:asciiTheme="minorHAnsi" w:hAnsiTheme="minorHAnsi"/>
          <w:color w:val="000000"/>
          <w:sz w:val="24"/>
          <w:szCs w:val="24"/>
          <w:lang w:val="en-GB"/>
        </w:rPr>
        <w:t>Thomas Lüthi，Non-Destructive Evaluation Methods，2014】</w:t>
      </w:r>
    </w:p>
    <w:p>
      <w:pPr>
        <w:pStyle w:val="11"/>
        <w:numPr>
          <w:ilvl w:val="0"/>
          <w:numId w:val="2"/>
        </w:numPr>
        <w:snapToGrid w:val="0"/>
        <w:spacing w:line="288" w:lineRule="auto"/>
        <w:rPr>
          <w:rFonts w:asciiTheme="minorHAnsi" w:hAnsiTheme="minorHAnsi"/>
          <w:color w:val="000000"/>
          <w:sz w:val="24"/>
          <w:szCs w:val="24"/>
          <w:lang w:val="en-GB"/>
        </w:rPr>
      </w:pPr>
      <w:r>
        <w:rPr>
          <w:rFonts w:asciiTheme="minorHAnsi" w:hAnsiTheme="minorHAnsi"/>
          <w:color w:val="000000"/>
          <w:sz w:val="24"/>
          <w:szCs w:val="24"/>
          <w:lang w:val="en-GB"/>
        </w:rPr>
        <w:t>Mohammed Omar, Nondestructive Testing Methods and New Applications, InTech, 2012</w:t>
      </w:r>
    </w:p>
    <w:p>
      <w:pPr>
        <w:pStyle w:val="11"/>
        <w:numPr>
          <w:ilvl w:val="0"/>
          <w:numId w:val="2"/>
        </w:numPr>
        <w:snapToGrid w:val="0"/>
        <w:spacing w:line="288" w:lineRule="auto"/>
        <w:rPr>
          <w:rFonts w:asciiTheme="minorHAnsi" w:hAnsiTheme="minorHAnsi"/>
          <w:b/>
          <w:bCs/>
          <w:color w:val="000000"/>
          <w:sz w:val="24"/>
          <w:szCs w:val="24"/>
          <w:lang w:val="en-GB"/>
        </w:rPr>
      </w:pPr>
      <w:r>
        <w:rPr>
          <w:rFonts w:asciiTheme="minorHAnsi" w:hAnsiTheme="minorHAnsi"/>
          <w:color w:val="000000"/>
          <w:sz w:val="24"/>
          <w:szCs w:val="24"/>
          <w:lang w:val="en-GB"/>
        </w:rPr>
        <w:t>刘福顺，《无损检测基础》，北京航空航天大学出版社，2002</w:t>
      </w:r>
    </w:p>
    <w:p>
      <w:pPr>
        <w:adjustRightInd w:val="0"/>
        <w:snapToGrid w:val="0"/>
        <w:spacing w:line="288" w:lineRule="auto"/>
        <w:ind w:left="424" w:leftChars="202" w:firstLine="2"/>
        <w:rPr>
          <w:rFonts w:asciiTheme="minorHAnsi" w:hAnsiTheme="minorHAnsi"/>
          <w:color w:val="000000"/>
          <w:sz w:val="24"/>
          <w:szCs w:val="24"/>
          <w:lang w:val="en-GB"/>
        </w:rPr>
      </w:pPr>
      <w:r>
        <w:rPr>
          <w:rFonts w:asciiTheme="minorHAnsi" w:hAnsiTheme="minorHAnsi"/>
          <w:b/>
          <w:bCs/>
          <w:color w:val="000000"/>
          <w:sz w:val="24"/>
          <w:szCs w:val="24"/>
          <w:lang w:val="en-GB"/>
        </w:rPr>
        <w:t>Pre-requisite：</w:t>
      </w:r>
      <w:r>
        <w:rPr>
          <w:rFonts w:asciiTheme="minorHAnsi" w:hAnsiTheme="minorHAnsi"/>
          <w:color w:val="000000"/>
          <w:sz w:val="24"/>
          <w:szCs w:val="24"/>
          <w:lang w:val="en-GB"/>
        </w:rPr>
        <w:t>AutoCad, Engineering Mechanics, Engineering Materials and Forming Technologies</w:t>
      </w:r>
    </w:p>
    <w:p>
      <w:pPr>
        <w:adjustRightInd w:val="0"/>
        <w:snapToGrid w:val="0"/>
        <w:spacing w:line="288" w:lineRule="auto"/>
        <w:rPr>
          <w:rFonts w:asciiTheme="minorHAnsi" w:hAnsiTheme="minorHAnsi"/>
          <w:color w:val="000000"/>
          <w:sz w:val="24"/>
          <w:szCs w:val="24"/>
          <w:lang w:val="en-GB"/>
        </w:rPr>
      </w:pPr>
    </w:p>
    <w:p>
      <w:pPr>
        <w:pStyle w:val="11"/>
        <w:numPr>
          <w:ilvl w:val="0"/>
          <w:numId w:val="1"/>
        </w:numPr>
        <w:adjustRightInd w:val="0"/>
        <w:snapToGrid w:val="0"/>
        <w:spacing w:line="288" w:lineRule="auto"/>
        <w:ind w:left="426" w:hanging="426"/>
        <w:rPr>
          <w:rFonts w:asciiTheme="minorHAnsi" w:hAnsiTheme="minorHAnsi"/>
          <w:b/>
          <w:color w:val="000000"/>
          <w:sz w:val="24"/>
          <w:szCs w:val="24"/>
          <w:lang w:val="en-GB"/>
        </w:rPr>
      </w:pPr>
      <w:r>
        <w:rPr>
          <w:rFonts w:eastAsia="黑体" w:asciiTheme="minorHAnsi" w:hAnsiTheme="minorHAnsi"/>
          <w:b/>
          <w:sz w:val="24"/>
          <w:szCs w:val="24"/>
          <w:lang w:val="en-GB"/>
        </w:rPr>
        <w:t>Course Description</w:t>
      </w:r>
    </w:p>
    <w:p>
      <w:pPr>
        <w:snapToGrid w:val="0"/>
        <w:spacing w:line="288" w:lineRule="auto"/>
        <w:ind w:firstLine="480" w:firstLineChars="200"/>
        <w:rPr>
          <w:rFonts w:asciiTheme="minorHAnsi" w:hAnsiTheme="minorHAnsi"/>
          <w:color w:val="000000"/>
          <w:sz w:val="24"/>
          <w:szCs w:val="24"/>
          <w:lang w:val="en-GB"/>
        </w:rPr>
      </w:pPr>
      <w:r>
        <w:rPr>
          <w:rFonts w:asciiTheme="minorHAnsi" w:hAnsiTheme="minorHAnsi"/>
          <w:color w:val="000000"/>
          <w:sz w:val="24"/>
          <w:szCs w:val="24"/>
          <w:lang w:val="en-GB"/>
        </w:rPr>
        <w:t>【Non-Destructive Testing】is an important professional compulsory course for the students of Mechanical Design, Manufacturing and Automation. It is of strong theoretical and practical significance. It has a wide range of applications in engineering technology. It is a combination of total quality management science and non-destructive testing technology. This course contains five general non-destructive testing methods (visual inspection, liquid penetrant testing, magnetic particle testing, ultrasonic testing, and radiographic testing) and covers the detection principle, equipment and application, etc. The students' logical thinking ability and engineering application ability will be developed through theoretical lecturing combined with experimental practices. At the end, the students are expected to be able (i) to  understand the basic principles, techniques, equipment, applications and limitations of NDT methods; (ii) to select appropriate NDT methods correctly; (iii) to identify the defects and flaws in materials; (iv) to make aware the developments and future trends in NDT. The quality level of the workpiece, quality analysis, material processing technology, and thus improve product quality, to lay a certain foundation for students to carry out testing related work and scientific research.</w:t>
      </w:r>
    </w:p>
    <w:p>
      <w:pPr>
        <w:pStyle w:val="11"/>
        <w:widowControl/>
        <w:numPr>
          <w:ilvl w:val="0"/>
          <w:numId w:val="1"/>
        </w:numPr>
        <w:spacing w:before="156" w:beforeLines="50" w:after="156" w:afterLines="50" w:line="288" w:lineRule="auto"/>
        <w:ind w:left="426" w:hanging="426"/>
        <w:jc w:val="left"/>
        <w:rPr>
          <w:rFonts w:eastAsia="黑体" w:asciiTheme="minorHAnsi" w:hAnsiTheme="minorHAnsi"/>
          <w:b/>
          <w:sz w:val="24"/>
          <w:szCs w:val="24"/>
          <w:lang w:val="en-GB"/>
        </w:rPr>
      </w:pPr>
      <w:r>
        <w:rPr>
          <w:rFonts w:eastAsia="黑体" w:asciiTheme="minorHAnsi" w:hAnsiTheme="minorHAnsi"/>
          <w:b/>
          <w:sz w:val="24"/>
          <w:szCs w:val="24"/>
          <w:lang w:val="en-GB"/>
        </w:rPr>
        <w:t>Course Selection Advice</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宋体" w:asciiTheme="minorHAnsi" w:hAnsiTheme="minorHAnsi"/>
          <w:kern w:val="0"/>
          <w:sz w:val="24"/>
          <w:szCs w:val="24"/>
          <w:lang w:val="en-GB"/>
        </w:rPr>
      </w:pPr>
      <w:r>
        <w:rPr>
          <w:rFonts w:cs="宋体" w:asciiTheme="minorHAnsi" w:hAnsiTheme="minorHAnsi"/>
          <w:kern w:val="0"/>
          <w:sz w:val="24"/>
          <w:szCs w:val="24"/>
          <w:lang w:val="en-GB"/>
        </w:rPr>
        <w:t>Non-Destructive Testing Methods is an examination course for mechatronics students. It requires basic knowledge of AutoCAD, Engineering Mechanics, Engineering Materials and Forming Technologies.</w:t>
      </w:r>
    </w:p>
    <w:p>
      <w:pPr>
        <w:pStyle w:val="11"/>
        <w:widowControl/>
        <w:numPr>
          <w:ilvl w:val="0"/>
          <w:numId w:val="1"/>
        </w:numPr>
        <w:spacing w:before="156" w:beforeLines="50" w:after="156" w:afterLines="50" w:line="288" w:lineRule="auto"/>
        <w:ind w:left="426" w:hanging="426"/>
        <w:jc w:val="left"/>
        <w:rPr>
          <w:rFonts w:eastAsia="黑体" w:asciiTheme="minorHAnsi" w:hAnsiTheme="minorHAnsi"/>
          <w:b/>
          <w:sz w:val="24"/>
          <w:szCs w:val="24"/>
          <w:lang w:val="en-GB"/>
        </w:rPr>
      </w:pPr>
      <w:r>
        <w:rPr>
          <w:rFonts w:eastAsia="黑体" w:asciiTheme="minorHAnsi" w:hAnsiTheme="minorHAnsi"/>
          <w:b/>
          <w:sz w:val="24"/>
          <w:szCs w:val="24"/>
          <w:lang w:val="en-GB"/>
        </w:rPr>
        <w:t>Course Content</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3397" w:type="dxa"/>
            <w:vAlign w:val="center"/>
          </w:tcPr>
          <w:p>
            <w:pPr>
              <w:jc w:val="center"/>
              <w:rPr>
                <w:rFonts w:asciiTheme="minorHAnsi" w:hAnsiTheme="minorHAnsi" w:eastAsiaTheme="minorEastAsia"/>
                <w:b/>
                <w:sz w:val="24"/>
                <w:szCs w:val="24"/>
                <w:lang w:val="en-GB"/>
              </w:rPr>
            </w:pPr>
            <w:r>
              <w:rPr>
                <w:rFonts w:asciiTheme="minorHAnsi" w:hAnsiTheme="minorHAnsi" w:eastAsiaTheme="minorEastAsia"/>
                <w:b/>
                <w:sz w:val="24"/>
                <w:szCs w:val="24"/>
                <w:lang w:val="en-GB"/>
              </w:rPr>
              <w:t>Unit</w:t>
            </w:r>
          </w:p>
        </w:tc>
        <w:tc>
          <w:tcPr>
            <w:tcW w:w="5670" w:type="dxa"/>
            <w:vAlign w:val="center"/>
          </w:tcPr>
          <w:p>
            <w:pPr>
              <w:jc w:val="center"/>
              <w:rPr>
                <w:rFonts w:asciiTheme="minorHAnsi" w:hAnsiTheme="minorHAnsi" w:eastAsiaTheme="minorEastAsia"/>
                <w:b/>
                <w:sz w:val="24"/>
                <w:szCs w:val="24"/>
                <w:lang w:val="en-GB"/>
              </w:rPr>
            </w:pPr>
            <w:r>
              <w:rPr>
                <w:rFonts w:asciiTheme="minorHAnsi" w:hAnsiTheme="minorHAnsi" w:eastAsiaTheme="minorEastAsia"/>
                <w:b/>
                <w:sz w:val="24"/>
                <w:szCs w:val="24"/>
                <w:lang w:val="en-GB"/>
              </w:rPr>
              <w:t>Contents of Knowledge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Introduction /History</w:t>
            </w:r>
          </w:p>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NDT Methods (4 hours)</w:t>
            </w:r>
          </w:p>
        </w:tc>
        <w:tc>
          <w:tcPr>
            <w:tcW w:w="5670" w:type="dxa"/>
            <w:vAlign w:val="center"/>
          </w:tcPr>
          <w:p>
            <w:pPr>
              <w:pStyle w:val="11"/>
              <w:numPr>
                <w:ilvl w:val="0"/>
                <w:numId w:val="4"/>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What is NDT?</w:t>
            </w:r>
          </w:p>
          <w:p>
            <w:pPr>
              <w:pStyle w:val="11"/>
              <w:numPr>
                <w:ilvl w:val="0"/>
                <w:numId w:val="4"/>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Historical development of NDT</w:t>
            </w:r>
          </w:p>
          <w:p>
            <w:pPr>
              <w:pStyle w:val="11"/>
              <w:numPr>
                <w:ilvl w:val="0"/>
                <w:numId w:val="4"/>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The birth of Codes and Standards</w:t>
            </w:r>
          </w:p>
          <w:p>
            <w:pPr>
              <w:pStyle w:val="11"/>
              <w:numPr>
                <w:ilvl w:val="0"/>
                <w:numId w:val="4"/>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NDT Qualification and Certification</w:t>
            </w:r>
          </w:p>
          <w:p>
            <w:pPr>
              <w:pStyle w:val="11"/>
              <w:numPr>
                <w:ilvl w:val="0"/>
                <w:numId w:val="4"/>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Basic overview of  NDT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Visual Inspection (VT) (4 hours)</w:t>
            </w:r>
          </w:p>
        </w:tc>
        <w:tc>
          <w:tcPr>
            <w:tcW w:w="5670" w:type="dxa"/>
            <w:vAlign w:val="center"/>
          </w:tcPr>
          <w:p>
            <w:pPr>
              <w:pStyle w:val="11"/>
              <w:numPr>
                <w:ilvl w:val="0"/>
                <w:numId w:val="5"/>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Advantages and Limitations of VT</w:t>
            </w:r>
          </w:p>
          <w:p>
            <w:pPr>
              <w:pStyle w:val="11"/>
              <w:numPr>
                <w:ilvl w:val="0"/>
                <w:numId w:val="5"/>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VT Qualification and Certification</w:t>
            </w:r>
          </w:p>
          <w:p>
            <w:pPr>
              <w:pStyle w:val="11"/>
              <w:numPr>
                <w:ilvl w:val="0"/>
                <w:numId w:val="5"/>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Direct and Indirect VT</w:t>
            </w:r>
          </w:p>
          <w:p>
            <w:pPr>
              <w:pStyle w:val="11"/>
              <w:numPr>
                <w:ilvl w:val="0"/>
                <w:numId w:val="5"/>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Discontinuities in manufacturing processes (e.g. welding)</w:t>
            </w:r>
          </w:p>
          <w:p>
            <w:pPr>
              <w:pStyle w:val="11"/>
              <w:numPr>
                <w:ilvl w:val="0"/>
                <w:numId w:val="5"/>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Performing VT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Liquid Penetrant</w:t>
            </w:r>
          </w:p>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Testing (PT) (4 hours)</w:t>
            </w:r>
          </w:p>
        </w:tc>
        <w:tc>
          <w:tcPr>
            <w:tcW w:w="5670" w:type="dxa"/>
            <w:vAlign w:val="center"/>
          </w:tcPr>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Basic steps of PT</w:t>
            </w:r>
          </w:p>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Mechanisms of PT</w:t>
            </w:r>
          </w:p>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Types of penetrants, removers, and developers</w:t>
            </w:r>
          </w:p>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Performing 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Magnetic Particle</w:t>
            </w:r>
          </w:p>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Testing (MT) (4 hours)</w:t>
            </w:r>
          </w:p>
        </w:tc>
        <w:tc>
          <w:tcPr>
            <w:tcW w:w="5670" w:type="dxa"/>
            <w:vAlign w:val="center"/>
          </w:tcPr>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Basic principles of MT</w:t>
            </w:r>
          </w:p>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Four steps of MT</w:t>
            </w:r>
          </w:p>
          <w:p>
            <w:pPr>
              <w:pStyle w:val="11"/>
              <w:numPr>
                <w:ilvl w:val="0"/>
                <w:numId w:val="6"/>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MT equipment and media</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Performing 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Radiographic</w:t>
            </w:r>
          </w:p>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Testing (RT) (6 hours)</w:t>
            </w:r>
          </w:p>
        </w:tc>
        <w:tc>
          <w:tcPr>
            <w:tcW w:w="5670" w:type="dxa"/>
            <w:vAlign w:val="center"/>
          </w:tcPr>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Types of RT sources</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Radiation</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RT equipment</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RT Safety</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Producing a radiograph</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RT image quality</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RT discontinuities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Ultrasonic Testing (6 hours)</w:t>
            </w:r>
          </w:p>
        </w:tc>
        <w:tc>
          <w:tcPr>
            <w:tcW w:w="5670" w:type="dxa"/>
            <w:vAlign w:val="center"/>
          </w:tcPr>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Principles of sound</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UT equipment</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UT measurements and flaw detection</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UT calibration</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Data scan presentation methods</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Phased array UT</w:t>
            </w:r>
          </w:p>
          <w:p>
            <w:pPr>
              <w:pStyle w:val="11"/>
              <w:numPr>
                <w:ilvl w:val="0"/>
                <w:numId w:val="7"/>
              </w:numPr>
              <w:ind w:left="186" w:hanging="186"/>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Alloy identification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3397" w:type="dxa"/>
            <w:vAlign w:val="center"/>
          </w:tcPr>
          <w:p>
            <w:pPr>
              <w:pStyle w:val="11"/>
              <w:numPr>
                <w:ilvl w:val="0"/>
                <w:numId w:val="3"/>
              </w:num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Eddy Current Testing (ECT) (4 hours)</w:t>
            </w:r>
          </w:p>
          <w:p>
            <w:pPr>
              <w:jc w:val="left"/>
              <w:rPr>
                <w:rFonts w:asciiTheme="minorHAnsi" w:hAnsiTheme="minorHAnsi" w:eastAsiaTheme="minorEastAsia"/>
                <w:sz w:val="24"/>
                <w:szCs w:val="24"/>
                <w:lang w:val="en-GB"/>
              </w:rPr>
            </w:pPr>
          </w:p>
        </w:tc>
        <w:tc>
          <w:tcPr>
            <w:tcW w:w="5670" w:type="dxa"/>
            <w:vAlign w:val="center"/>
          </w:tcPr>
          <w:p>
            <w:pPr>
              <w:pStyle w:val="11"/>
              <w:numPr>
                <w:ilvl w:val="0"/>
                <w:numId w:val="8"/>
              </w:numPr>
              <w:ind w:left="203" w:hanging="203"/>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Principle, physics aspects of ECT</w:t>
            </w:r>
          </w:p>
          <w:p>
            <w:pPr>
              <w:pStyle w:val="11"/>
              <w:numPr>
                <w:ilvl w:val="0"/>
                <w:numId w:val="8"/>
              </w:numPr>
              <w:ind w:left="203" w:hanging="203"/>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Field factor and list of effects, e.g. edge, impedance plane diagram, depth of penetration of ECT, relation between frequency and depth of penetration in ECT</w:t>
            </w:r>
          </w:p>
          <w:p>
            <w:pPr>
              <w:pStyle w:val="11"/>
              <w:numPr>
                <w:ilvl w:val="0"/>
                <w:numId w:val="8"/>
              </w:numPr>
              <w:ind w:left="203" w:hanging="203"/>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 xml:space="preserve">Equipments and accessories, various application of ECT </w:t>
            </w:r>
          </w:p>
          <w:p>
            <w:pPr>
              <w:pStyle w:val="11"/>
              <w:numPr>
                <w:ilvl w:val="0"/>
                <w:numId w:val="8"/>
              </w:numPr>
              <w:ind w:left="203" w:hanging="203"/>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Coating thickness measurement, advantages and limitations of eddy current testing</w:t>
            </w:r>
          </w:p>
        </w:tc>
      </w:tr>
    </w:tbl>
    <w:p>
      <w:pPr>
        <w:widowControl/>
        <w:spacing w:before="156" w:beforeLines="50" w:after="156" w:afterLines="50" w:line="288" w:lineRule="auto"/>
        <w:jc w:val="left"/>
        <w:rPr>
          <w:rFonts w:asciiTheme="minorHAnsi" w:hAnsiTheme="minorHAnsi"/>
          <w:sz w:val="24"/>
          <w:szCs w:val="24"/>
          <w:lang w:val="en-GB"/>
        </w:rPr>
      </w:pPr>
    </w:p>
    <w:p>
      <w:pPr>
        <w:pStyle w:val="11"/>
        <w:widowControl/>
        <w:numPr>
          <w:ilvl w:val="0"/>
          <w:numId w:val="1"/>
        </w:numPr>
        <w:spacing w:before="156" w:beforeLines="50" w:after="156" w:afterLines="50" w:line="288" w:lineRule="auto"/>
        <w:ind w:left="426"/>
        <w:jc w:val="left"/>
        <w:rPr>
          <w:rFonts w:eastAsia="黑体" w:asciiTheme="minorHAnsi" w:hAnsiTheme="minorHAnsi"/>
          <w:b/>
          <w:sz w:val="24"/>
          <w:szCs w:val="24"/>
          <w:lang w:val="en-GB"/>
        </w:rPr>
      </w:pPr>
      <w:r>
        <w:rPr>
          <w:rFonts w:eastAsia="黑体" w:asciiTheme="minorHAnsi" w:hAnsiTheme="minorHAnsi"/>
          <w:b/>
          <w:sz w:val="24"/>
          <w:szCs w:val="24"/>
          <w:lang w:val="en-GB"/>
        </w:rPr>
        <w:t>Experiments and Basic Requirements</w:t>
      </w:r>
    </w:p>
    <w:tbl>
      <w:tblPr>
        <w:tblStyle w:val="5"/>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43"/>
        <w:gridCol w:w="3543"/>
        <w:gridCol w:w="113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Item</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Name of Experiment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Contents</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Hours</w:t>
            </w:r>
          </w:p>
        </w:tc>
        <w:tc>
          <w:tcPr>
            <w:tcW w:w="1843" w:type="dxa"/>
            <w:tcBorders>
              <w:top w:val="single" w:color="auto" w:sz="4" w:space="0"/>
              <w:left w:val="single" w:color="auto" w:sz="4" w:space="0"/>
              <w:right w:val="single" w:color="auto" w:sz="4" w:space="0"/>
            </w:tcBorders>
            <w:shd w:val="clear" w:color="auto" w:fill="auto"/>
            <w:vAlign w:val="center"/>
          </w:tcPr>
          <w:p>
            <w:pPr>
              <w:snapToGrid w:val="0"/>
              <w:jc w:val="center"/>
              <w:rPr>
                <w:rFonts w:asciiTheme="minorHAnsi" w:hAnsiTheme="minorHAnsi"/>
                <w:b/>
                <w:sz w:val="24"/>
                <w:szCs w:val="24"/>
                <w:lang w:val="en-GB"/>
              </w:rPr>
            </w:pPr>
            <w:r>
              <w:rPr>
                <w:rFonts w:asciiTheme="minorHAnsi" w:hAnsiTheme="minorHAnsi"/>
                <w:b/>
                <w:sz w:val="24"/>
                <w:szCs w:val="24"/>
                <w:lang w:val="en-GB"/>
              </w:rPr>
              <w:t>Type of experiment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exac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Liquid penetrant test (LPT)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9"/>
              </w:numPr>
              <w:snapToGrid w:val="0"/>
              <w:spacing w:before="156" w:beforeLines="50" w:after="156" w:afterLines="50" w:line="288" w:lineRule="auto"/>
              <w:ind w:left="171" w:hanging="171"/>
              <w:jc w:val="left"/>
              <w:rPr>
                <w:rFonts w:asciiTheme="minorHAnsi" w:hAnsiTheme="minorHAnsi"/>
                <w:sz w:val="24"/>
                <w:szCs w:val="24"/>
                <w:lang w:val="en-GB"/>
              </w:rPr>
            </w:pPr>
            <w:r>
              <w:rPr>
                <w:rFonts w:asciiTheme="minorHAnsi" w:hAnsiTheme="minorHAnsi"/>
                <w:sz w:val="24"/>
                <w:szCs w:val="24"/>
                <w:lang w:val="en-GB"/>
              </w:rPr>
              <w:t>Understand the LPT’s procedures</w:t>
            </w:r>
          </w:p>
          <w:p>
            <w:pPr>
              <w:pStyle w:val="11"/>
              <w:numPr>
                <w:ilvl w:val="0"/>
                <w:numId w:val="9"/>
              </w:numPr>
              <w:snapToGrid w:val="0"/>
              <w:spacing w:before="156" w:beforeLines="50" w:after="156" w:afterLines="50" w:line="288" w:lineRule="auto"/>
              <w:ind w:left="171" w:hanging="171"/>
              <w:jc w:val="left"/>
              <w:rPr>
                <w:rFonts w:asciiTheme="minorHAnsi" w:hAnsiTheme="minorHAnsi"/>
                <w:sz w:val="24"/>
                <w:szCs w:val="24"/>
                <w:lang w:val="en-GB"/>
              </w:rPr>
            </w:pPr>
            <w:r>
              <w:rPr>
                <w:rFonts w:asciiTheme="minorHAnsi" w:hAnsiTheme="minorHAnsi"/>
                <w:sz w:val="24"/>
                <w:szCs w:val="24"/>
                <w:lang w:val="en-GB"/>
              </w:rPr>
              <w:t>Perform LPT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6</w:t>
            </w:r>
          </w:p>
        </w:tc>
        <w:tc>
          <w:tcPr>
            <w:tcW w:w="184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Magnetic particle test (MPT)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10"/>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Understand the MPT’s procedures</w:t>
            </w:r>
          </w:p>
          <w:p>
            <w:pPr>
              <w:pStyle w:val="11"/>
              <w:numPr>
                <w:ilvl w:val="0"/>
                <w:numId w:val="10"/>
              </w:numPr>
              <w:snapToGrid w:val="0"/>
              <w:spacing w:before="156" w:beforeLines="50" w:after="156" w:afterLines="50" w:line="288" w:lineRule="auto"/>
              <w:ind w:left="171" w:hanging="171"/>
              <w:jc w:val="left"/>
              <w:rPr>
                <w:rFonts w:asciiTheme="minorHAnsi" w:hAnsiTheme="minorHAnsi"/>
                <w:sz w:val="24"/>
                <w:szCs w:val="24"/>
                <w:lang w:val="en-GB"/>
              </w:rPr>
            </w:pPr>
            <w:r>
              <w:rPr>
                <w:rFonts w:asciiTheme="minorHAnsi" w:hAnsiTheme="minorHAnsi"/>
                <w:sz w:val="24"/>
                <w:szCs w:val="24"/>
                <w:lang w:val="en-GB"/>
              </w:rPr>
              <w:t>Perform MPT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6</w:t>
            </w:r>
          </w:p>
        </w:tc>
        <w:tc>
          <w:tcPr>
            <w:tcW w:w="184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Verification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exac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Radiographic test (RT)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11"/>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Radiographic Procedures</w:t>
            </w:r>
          </w:p>
          <w:p>
            <w:pPr>
              <w:pStyle w:val="11"/>
              <w:numPr>
                <w:ilvl w:val="0"/>
                <w:numId w:val="11"/>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Image Production and Evaluation</w:t>
            </w:r>
          </w:p>
          <w:p>
            <w:pPr>
              <w:pStyle w:val="11"/>
              <w:numPr>
                <w:ilvl w:val="0"/>
                <w:numId w:val="11"/>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Radiation Protection</w:t>
            </w:r>
          </w:p>
          <w:p>
            <w:pPr>
              <w:pStyle w:val="11"/>
              <w:numPr>
                <w:ilvl w:val="0"/>
                <w:numId w:val="11"/>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Equipment Operation and Quality Control</w:t>
            </w:r>
          </w:p>
          <w:p>
            <w:pPr>
              <w:pStyle w:val="11"/>
              <w:numPr>
                <w:ilvl w:val="0"/>
                <w:numId w:val="11"/>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Reporting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10</w:t>
            </w:r>
          </w:p>
        </w:tc>
        <w:tc>
          <w:tcPr>
            <w:tcW w:w="184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Comprehensive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exac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Ultrasonic test(UT)</w:t>
            </w: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numPr>
                <w:ilvl w:val="0"/>
                <w:numId w:val="12"/>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UT equipment and calibration</w:t>
            </w:r>
          </w:p>
          <w:p>
            <w:pPr>
              <w:pStyle w:val="11"/>
              <w:numPr>
                <w:ilvl w:val="0"/>
                <w:numId w:val="12"/>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Materials and surface preparation</w:t>
            </w:r>
          </w:p>
          <w:p>
            <w:pPr>
              <w:pStyle w:val="11"/>
              <w:numPr>
                <w:ilvl w:val="0"/>
                <w:numId w:val="12"/>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Testing procedure</w:t>
            </w:r>
          </w:p>
          <w:p>
            <w:pPr>
              <w:pStyle w:val="11"/>
              <w:numPr>
                <w:ilvl w:val="0"/>
                <w:numId w:val="12"/>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Defect evaluation and sizing</w:t>
            </w:r>
          </w:p>
          <w:p>
            <w:pPr>
              <w:pStyle w:val="11"/>
              <w:numPr>
                <w:ilvl w:val="0"/>
                <w:numId w:val="12"/>
              </w:num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Reporting</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10</w:t>
            </w:r>
          </w:p>
        </w:tc>
        <w:tc>
          <w:tcPr>
            <w:tcW w:w="184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HAnsi" w:hAnsiTheme="minorHAnsi"/>
                <w:sz w:val="24"/>
                <w:szCs w:val="24"/>
                <w:lang w:val="en-GB"/>
              </w:rPr>
            </w:pPr>
            <w:r>
              <w:rPr>
                <w:rFonts w:asciiTheme="minorHAnsi" w:hAnsiTheme="minorHAnsi"/>
                <w:sz w:val="24"/>
                <w:szCs w:val="24"/>
                <w:lang w:val="en-GB"/>
              </w:rPr>
              <w:t>Comprehensive</w:t>
            </w:r>
          </w:p>
        </w:tc>
      </w:tr>
    </w:tbl>
    <w:p>
      <w:pPr>
        <w:snapToGrid w:val="0"/>
        <w:spacing w:line="288" w:lineRule="auto"/>
        <w:ind w:right="2520" w:firstLine="480" w:firstLineChars="200"/>
        <w:rPr>
          <w:rFonts w:asciiTheme="minorHAnsi" w:hAnsiTheme="minorHAnsi"/>
          <w:sz w:val="24"/>
          <w:szCs w:val="24"/>
          <w:lang w:val="en-GB"/>
        </w:rPr>
      </w:pPr>
    </w:p>
    <w:p>
      <w:pPr>
        <w:snapToGrid w:val="0"/>
        <w:spacing w:line="288" w:lineRule="auto"/>
        <w:ind w:left="424" w:leftChars="1" w:right="2520" w:hanging="422" w:hangingChars="175"/>
        <w:rPr>
          <w:rFonts w:asciiTheme="minorHAnsi" w:hAnsiTheme="minorHAnsi"/>
          <w:b/>
          <w:sz w:val="24"/>
          <w:szCs w:val="24"/>
          <w:lang w:val="en-GB"/>
        </w:rPr>
      </w:pPr>
    </w:p>
    <w:p>
      <w:pPr>
        <w:snapToGrid w:val="0"/>
        <w:spacing w:line="288" w:lineRule="auto"/>
        <w:ind w:left="424" w:leftChars="1" w:right="2520" w:hanging="422" w:hangingChars="175"/>
        <w:rPr>
          <w:rFonts w:asciiTheme="minorHAnsi" w:hAnsiTheme="minorHAnsi"/>
          <w:b/>
          <w:sz w:val="24"/>
          <w:szCs w:val="24"/>
          <w:lang w:val="en-GB"/>
        </w:rPr>
      </w:pPr>
    </w:p>
    <w:p>
      <w:pPr>
        <w:snapToGrid w:val="0"/>
        <w:spacing w:line="288" w:lineRule="auto"/>
        <w:ind w:left="424" w:leftChars="1" w:right="2520" w:hanging="422" w:hangingChars="175"/>
        <w:rPr>
          <w:rFonts w:asciiTheme="minorHAnsi" w:hAnsiTheme="minorHAnsi"/>
          <w:b/>
          <w:sz w:val="24"/>
          <w:szCs w:val="24"/>
          <w:lang w:val="en-GB"/>
        </w:rPr>
      </w:pPr>
    </w:p>
    <w:p>
      <w:pPr>
        <w:snapToGrid w:val="0"/>
        <w:spacing w:line="288" w:lineRule="auto"/>
        <w:ind w:left="424" w:leftChars="1" w:right="2520" w:hanging="422" w:hangingChars="175"/>
        <w:rPr>
          <w:rFonts w:asciiTheme="minorHAnsi" w:hAnsiTheme="minorHAnsi"/>
          <w:b/>
          <w:sz w:val="24"/>
          <w:szCs w:val="24"/>
          <w:lang w:val="en-GB"/>
        </w:rPr>
      </w:pPr>
    </w:p>
    <w:p>
      <w:pPr>
        <w:snapToGrid w:val="0"/>
        <w:spacing w:line="288" w:lineRule="auto"/>
        <w:ind w:left="424" w:leftChars="1" w:right="2520" w:hanging="422" w:hangingChars="175"/>
        <w:rPr>
          <w:rFonts w:asciiTheme="minorHAnsi" w:hAnsiTheme="minorHAnsi"/>
          <w:b/>
          <w:sz w:val="24"/>
          <w:szCs w:val="24"/>
          <w:lang w:val="en-GB"/>
        </w:rPr>
      </w:pPr>
      <w:r>
        <w:rPr>
          <w:rFonts w:asciiTheme="minorHAnsi" w:hAnsiTheme="minorHAnsi"/>
          <w:b/>
          <w:sz w:val="24"/>
          <w:szCs w:val="24"/>
          <w:lang w:val="en-GB"/>
        </w:rPr>
        <w:t>6 . Assessment</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left"/>
              <w:rPr>
                <w:rFonts w:eastAsia="PMingLiU" w:asciiTheme="minorHAnsi" w:hAnsiTheme="minorHAnsi"/>
                <w:b/>
                <w:bCs/>
                <w:color w:val="000000"/>
                <w:sz w:val="24"/>
                <w:szCs w:val="24"/>
                <w:lang w:val="en-GB" w:eastAsia="zh-TW"/>
              </w:rPr>
            </w:pPr>
            <w:r>
              <w:rPr>
                <w:rFonts w:eastAsia="PMingLiU" w:asciiTheme="minorHAnsi" w:hAnsiTheme="minorHAnsi"/>
                <w:b/>
                <w:bCs/>
                <w:color w:val="000000"/>
                <w:sz w:val="24"/>
                <w:szCs w:val="24"/>
                <w:lang w:val="en-GB" w:eastAsia="zh-TW"/>
              </w:rPr>
              <w:t>Marks（1+X）</w:t>
            </w:r>
          </w:p>
        </w:tc>
        <w:tc>
          <w:tcPr>
            <w:tcW w:w="5103" w:type="dxa"/>
            <w:shd w:val="clear" w:color="auto" w:fill="auto"/>
          </w:tcPr>
          <w:p>
            <w:pPr>
              <w:snapToGrid w:val="0"/>
              <w:spacing w:before="156" w:beforeLines="50" w:after="156" w:afterLines="50"/>
              <w:jc w:val="center"/>
              <w:rPr>
                <w:rFonts w:eastAsia="PMingLiU" w:asciiTheme="minorHAnsi" w:hAnsiTheme="minorHAnsi"/>
                <w:b/>
                <w:bCs/>
                <w:color w:val="000000"/>
                <w:sz w:val="24"/>
                <w:szCs w:val="24"/>
                <w:lang w:val="en-GB" w:eastAsia="zh-TW"/>
              </w:rPr>
            </w:pPr>
            <w:r>
              <w:rPr>
                <w:rFonts w:eastAsia="PMingLiU" w:asciiTheme="minorHAnsi" w:hAnsiTheme="minorHAnsi"/>
                <w:b/>
                <w:bCs/>
                <w:color w:val="000000"/>
                <w:sz w:val="24"/>
                <w:szCs w:val="24"/>
                <w:lang w:val="en-GB" w:eastAsia="zh-TW"/>
              </w:rPr>
              <w:t>Assessment</w:t>
            </w:r>
          </w:p>
        </w:tc>
        <w:tc>
          <w:tcPr>
            <w:tcW w:w="2127" w:type="dxa"/>
            <w:shd w:val="clear" w:color="auto" w:fill="auto"/>
          </w:tcPr>
          <w:p>
            <w:pPr>
              <w:snapToGrid w:val="0"/>
              <w:spacing w:before="156" w:beforeLines="50" w:after="156" w:afterLines="50"/>
              <w:jc w:val="center"/>
              <w:rPr>
                <w:rFonts w:eastAsia="PMingLiU" w:asciiTheme="minorHAnsi" w:hAnsiTheme="minorHAnsi"/>
                <w:b/>
                <w:bCs/>
                <w:color w:val="000000"/>
                <w:sz w:val="24"/>
                <w:szCs w:val="24"/>
                <w:lang w:val="en-GB" w:eastAsia="zh-TW"/>
              </w:rPr>
            </w:pPr>
            <w:r>
              <w:rPr>
                <w:rFonts w:eastAsia="PMingLiU" w:asciiTheme="minorHAnsi" w:hAnsiTheme="minorHAnsi"/>
                <w:b/>
                <w:bCs/>
                <w:color w:val="000000"/>
                <w:sz w:val="24"/>
                <w:szCs w:val="24"/>
                <w:lang w:val="en-GB" w:eastAsia="zh-TW"/>
              </w:rPr>
              <w:t>Weightage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 w:val="24"/>
                <w:szCs w:val="20"/>
              </w:rPr>
              <w:t>1</w:t>
            </w:r>
          </w:p>
        </w:tc>
        <w:tc>
          <w:tcPr>
            <w:tcW w:w="5103" w:type="dxa"/>
            <w:shd w:val="clear" w:color="auto" w:fill="auto"/>
          </w:tcPr>
          <w:p>
            <w:pPr>
              <w:snapToGrid w:val="0"/>
              <w:spacing w:before="156" w:beforeLines="50" w:after="156" w:afterLines="50"/>
              <w:jc w:val="center"/>
              <w:rPr>
                <w:rFonts w:ascii="Times New Roman" w:hAnsi="Times New Roman" w:eastAsia="PMingLiU"/>
                <w:bCs/>
                <w:color w:val="000000"/>
                <w:sz w:val="24"/>
                <w:szCs w:val="20"/>
                <w:lang w:eastAsia="zh-TW"/>
              </w:rPr>
            </w:pPr>
            <w:r>
              <w:rPr>
                <w:rFonts w:ascii="Times New Roman" w:hAnsi="Times New Roman" w:eastAsia="PMingLiU"/>
                <w:bCs/>
                <w:color w:val="000000"/>
                <w:sz w:val="24"/>
                <w:szCs w:val="20"/>
                <w:lang w:eastAsia="zh-TW"/>
              </w:rPr>
              <w:t>Final exam (50%)</w:t>
            </w:r>
          </w:p>
        </w:tc>
        <w:tc>
          <w:tcPr>
            <w:tcW w:w="2127"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 w:val="24"/>
                <w:szCs w:val="20"/>
              </w:rPr>
              <w:t>5</w:t>
            </w:r>
            <w:r>
              <w:rPr>
                <w:rFonts w:ascii="宋体" w:hAnsi="宋体" w:eastAsiaTheme="minorEastAsia"/>
                <w:bCs/>
                <w:color w:val="000000"/>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ascii="宋体" w:hAnsi="宋体" w:eastAsiaTheme="minorEastAsia"/>
                <w:bCs/>
                <w:color w:val="000000"/>
                <w:sz w:val="24"/>
                <w:szCs w:val="20"/>
              </w:rPr>
              <w:t>X1</w:t>
            </w:r>
          </w:p>
        </w:tc>
        <w:tc>
          <w:tcPr>
            <w:tcW w:w="5103" w:type="dxa"/>
            <w:shd w:val="clear" w:color="auto" w:fill="auto"/>
          </w:tcPr>
          <w:p>
            <w:pPr>
              <w:spacing w:line="288" w:lineRule="auto"/>
              <w:ind w:firstLine="480" w:firstLineChars="200"/>
              <w:jc w:val="center"/>
              <w:rPr>
                <w:rFonts w:ascii="Times New Roman" w:hAnsi="Times New Roman" w:eastAsia="PMingLiU"/>
                <w:bCs/>
                <w:iCs/>
                <w:color w:val="000000"/>
                <w:sz w:val="24"/>
                <w:szCs w:val="20"/>
                <w:lang w:val="en-GB" w:eastAsia="zh-TW"/>
              </w:rPr>
            </w:pPr>
            <w:r>
              <w:rPr>
                <w:rFonts w:ascii="Times New Roman" w:hAnsi="Times New Roman" w:eastAsia="PMingLiU"/>
                <w:bCs/>
                <w:iCs/>
                <w:color w:val="000000"/>
                <w:sz w:val="24"/>
                <w:szCs w:val="20"/>
                <w:lang w:val="en-GB" w:eastAsia="zh-TW"/>
              </w:rPr>
              <w:t>Participation for the lectures</w:t>
            </w:r>
            <w:r>
              <w:rPr>
                <w:rFonts w:ascii="Times New Roman" w:hAnsi="Times New Roman" w:eastAsia="PMingLiU"/>
                <w:bCs/>
                <w:iCs/>
                <w:color w:val="000000"/>
                <w:sz w:val="24"/>
                <w:szCs w:val="20"/>
                <w:lang w:val="en-GB" w:eastAsia="zh-TW"/>
              </w:rPr>
              <w:tab/>
            </w:r>
            <w:r>
              <w:rPr>
                <w:rFonts w:ascii="Times New Roman" w:hAnsi="Times New Roman" w:eastAsia="PMingLiU"/>
                <w:bCs/>
                <w:iCs/>
                <w:color w:val="000000"/>
                <w:sz w:val="24"/>
                <w:szCs w:val="20"/>
                <w:lang w:val="en-GB" w:eastAsia="zh-TW"/>
              </w:rPr>
              <w:t>10%</w:t>
            </w:r>
          </w:p>
        </w:tc>
        <w:tc>
          <w:tcPr>
            <w:tcW w:w="2127"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 w:val="24"/>
                <w:szCs w:val="20"/>
              </w:rPr>
              <w:t>1</w:t>
            </w:r>
            <w:r>
              <w:rPr>
                <w:rFonts w:ascii="宋体" w:hAnsi="宋体" w:eastAsiaTheme="minorEastAsia"/>
                <w:bCs/>
                <w:color w:val="000000"/>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ascii="宋体" w:hAnsi="宋体" w:eastAsiaTheme="minorEastAsia"/>
                <w:bCs/>
                <w:color w:val="000000"/>
                <w:sz w:val="24"/>
                <w:szCs w:val="20"/>
              </w:rPr>
              <w:t>X2</w:t>
            </w:r>
          </w:p>
        </w:tc>
        <w:tc>
          <w:tcPr>
            <w:tcW w:w="5103" w:type="dxa"/>
            <w:shd w:val="clear" w:color="auto" w:fill="auto"/>
          </w:tcPr>
          <w:p>
            <w:pPr>
              <w:snapToGrid w:val="0"/>
              <w:spacing w:before="156" w:beforeLines="50" w:after="156" w:afterLines="50"/>
              <w:ind w:left="1440"/>
              <w:jc w:val="left"/>
              <w:rPr>
                <w:rFonts w:ascii="Times New Roman" w:hAnsi="Times New Roman" w:eastAsia="PMingLiU"/>
                <w:bCs/>
                <w:color w:val="000000"/>
                <w:sz w:val="24"/>
                <w:szCs w:val="20"/>
                <w:lang w:eastAsia="zh-TW"/>
              </w:rPr>
            </w:pPr>
            <w:r>
              <w:rPr>
                <w:rFonts w:ascii="Times New Roman" w:hAnsi="Times New Roman" w:eastAsia="PMingLiU"/>
                <w:bCs/>
                <w:iCs/>
                <w:color w:val="000000"/>
                <w:sz w:val="24"/>
                <w:szCs w:val="20"/>
                <w:lang w:val="en-GB" w:eastAsia="zh-TW"/>
              </w:rPr>
              <w:t xml:space="preserve">Homework </w:t>
            </w:r>
          </w:p>
        </w:tc>
        <w:tc>
          <w:tcPr>
            <w:tcW w:w="2127"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 w:val="24"/>
                <w:szCs w:val="20"/>
              </w:rPr>
              <w:t>1</w:t>
            </w:r>
            <w:r>
              <w:rPr>
                <w:rFonts w:ascii="宋体" w:hAnsi="宋体" w:eastAsiaTheme="minorEastAsia"/>
                <w:bCs/>
                <w:color w:val="000000"/>
                <w:sz w:val="24"/>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ascii="宋体" w:hAnsi="宋体" w:eastAsiaTheme="minorEastAsia"/>
                <w:bCs/>
                <w:color w:val="000000"/>
                <w:sz w:val="24"/>
                <w:szCs w:val="20"/>
              </w:rPr>
              <w:t>X3</w:t>
            </w:r>
          </w:p>
        </w:tc>
        <w:tc>
          <w:tcPr>
            <w:tcW w:w="5103" w:type="dxa"/>
            <w:shd w:val="clear" w:color="auto" w:fill="auto"/>
          </w:tcPr>
          <w:p>
            <w:pPr>
              <w:snapToGrid w:val="0"/>
              <w:spacing w:before="156" w:beforeLines="50" w:after="156" w:afterLines="50"/>
              <w:jc w:val="center"/>
              <w:rPr>
                <w:rFonts w:ascii="Times New Roman" w:hAnsi="Times New Roman" w:eastAsia="PMingLiU"/>
                <w:bCs/>
                <w:color w:val="000000"/>
                <w:sz w:val="24"/>
                <w:szCs w:val="20"/>
                <w:lang w:eastAsia="zh-TW"/>
              </w:rPr>
            </w:pPr>
            <w:r>
              <w:rPr>
                <w:rFonts w:ascii="Times New Roman" w:hAnsi="Times New Roman" w:eastAsia="PMingLiU"/>
                <w:bCs/>
                <w:color w:val="000000"/>
                <w:sz w:val="24"/>
                <w:szCs w:val="20"/>
                <w:lang w:eastAsia="zh-TW"/>
              </w:rPr>
              <w:t xml:space="preserve">Experiment and report </w:t>
            </w:r>
          </w:p>
        </w:tc>
        <w:tc>
          <w:tcPr>
            <w:tcW w:w="2127" w:type="dxa"/>
            <w:shd w:val="clear" w:color="auto" w:fill="auto"/>
          </w:tcPr>
          <w:p>
            <w:pPr>
              <w:snapToGrid w:val="0"/>
              <w:spacing w:before="156" w:beforeLines="50" w:after="156" w:afterLines="50"/>
              <w:jc w:val="center"/>
              <w:rPr>
                <w:rFonts w:ascii="宋体" w:hAnsi="宋体" w:eastAsia="PMingLiU"/>
                <w:bCs/>
                <w:color w:val="000000"/>
                <w:sz w:val="24"/>
                <w:szCs w:val="20"/>
                <w:lang w:eastAsia="zh-TW"/>
              </w:rPr>
            </w:pPr>
            <w:r>
              <w:rPr>
                <w:rFonts w:ascii="宋体" w:hAnsi="宋体" w:eastAsia="PMingLiU"/>
                <w:bCs/>
                <w:color w:val="000000"/>
                <w:sz w:val="24"/>
                <w:szCs w:val="20"/>
                <w:lang w:eastAsia="zh-TW"/>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ascii="宋体" w:hAnsi="宋体" w:eastAsiaTheme="minorEastAsia"/>
                <w:bCs/>
                <w:color w:val="000000"/>
                <w:sz w:val="24"/>
                <w:szCs w:val="20"/>
              </w:rPr>
              <w:t>X4</w:t>
            </w:r>
          </w:p>
        </w:tc>
        <w:tc>
          <w:tcPr>
            <w:tcW w:w="5103" w:type="dxa"/>
            <w:shd w:val="clear" w:color="auto" w:fill="auto"/>
          </w:tcPr>
          <w:p>
            <w:pPr>
              <w:snapToGrid w:val="0"/>
              <w:spacing w:before="156" w:beforeLines="50" w:after="156" w:afterLines="50"/>
              <w:jc w:val="center"/>
              <w:rPr>
                <w:rFonts w:ascii="Times New Roman" w:hAnsi="Times New Roman" w:eastAsia="PMingLiU"/>
                <w:bCs/>
                <w:color w:val="000000"/>
                <w:sz w:val="24"/>
                <w:szCs w:val="20"/>
                <w:lang w:eastAsia="zh-TW"/>
              </w:rPr>
            </w:pPr>
            <w:r>
              <w:rPr>
                <w:rFonts w:ascii="Times New Roman" w:hAnsi="Times New Roman" w:eastAsia="PMingLiU"/>
                <w:bCs/>
                <w:color w:val="000000"/>
                <w:sz w:val="24"/>
                <w:szCs w:val="20"/>
                <w:lang w:eastAsia="zh-TW"/>
              </w:rPr>
              <w:t>Mid-term exam</w:t>
            </w:r>
          </w:p>
        </w:tc>
        <w:tc>
          <w:tcPr>
            <w:tcW w:w="2127" w:type="dxa"/>
            <w:shd w:val="clear" w:color="auto" w:fill="auto"/>
          </w:tcPr>
          <w:p>
            <w:pPr>
              <w:snapToGrid w:val="0"/>
              <w:spacing w:before="156" w:beforeLines="50" w:after="156" w:afterLines="50"/>
              <w:jc w:val="center"/>
              <w:rPr>
                <w:rFonts w:ascii="宋体" w:hAnsi="宋体" w:eastAsiaTheme="minorEastAsia"/>
                <w:bCs/>
                <w:color w:val="000000"/>
                <w:sz w:val="24"/>
                <w:szCs w:val="20"/>
              </w:rPr>
            </w:pPr>
            <w:r>
              <w:rPr>
                <w:rFonts w:hint="eastAsia" w:ascii="宋体" w:hAnsi="宋体" w:eastAsiaTheme="minorEastAsia"/>
                <w:bCs/>
                <w:color w:val="000000"/>
                <w:sz w:val="24"/>
                <w:szCs w:val="20"/>
              </w:rPr>
              <w:t>1</w:t>
            </w:r>
            <w:r>
              <w:rPr>
                <w:rFonts w:ascii="宋体" w:hAnsi="宋体" w:eastAsiaTheme="minorEastAsia"/>
                <w:bCs/>
                <w:color w:val="000000"/>
                <w:sz w:val="24"/>
                <w:szCs w:val="20"/>
              </w:rPr>
              <w:t>0%</w:t>
            </w:r>
          </w:p>
        </w:tc>
      </w:tr>
    </w:tbl>
    <w:p>
      <w:pPr>
        <w:snapToGrid w:val="0"/>
        <w:spacing w:line="288" w:lineRule="auto"/>
        <w:rPr>
          <w:rFonts w:asciiTheme="minorHAnsi" w:hAnsiTheme="minorHAnsi"/>
          <w:sz w:val="24"/>
          <w:szCs w:val="24"/>
          <w:lang w:val="en-GB"/>
        </w:rPr>
      </w:pPr>
    </w:p>
    <w:p>
      <w:pPr>
        <w:snapToGrid w:val="0"/>
        <w:spacing w:before="156" w:beforeLines="50" w:after="156" w:afterLines="50"/>
        <w:rPr>
          <w:rFonts w:cs="Arial"/>
          <w:b/>
          <w:bCs/>
          <w:kern w:val="0"/>
          <w:sz w:val="28"/>
          <w:szCs w:val="28"/>
        </w:rPr>
      </w:pPr>
      <w:r>
        <w:rPr>
          <w:rFonts w:cs="Arial"/>
          <w:b/>
          <w:bCs/>
          <w:kern w:val="0"/>
          <w:sz w:val="28"/>
          <w:szCs w:val="28"/>
        </w:rPr>
        <w:t>7. Teaching Schedule</w:t>
      </w:r>
    </w:p>
    <w:p>
      <w:pPr>
        <w:widowControl/>
        <w:shd w:val="clear" w:color="auto" w:fill="FFFFFF"/>
        <w:jc w:val="left"/>
        <w:textAlignment w:val="top"/>
        <w:rPr>
          <w:rFonts w:cs="Arial"/>
          <w:sz w:val="24"/>
          <w:szCs w:val="24"/>
        </w:rPr>
      </w:pPr>
    </w:p>
    <w:tbl>
      <w:tblPr>
        <w:tblStyle w:val="5"/>
        <w:tblW w:w="9072" w:type="dxa"/>
        <w:tblInd w:w="108" w:type="dxa"/>
        <w:tblLayout w:type="fixed"/>
        <w:tblCellMar>
          <w:top w:w="0" w:type="dxa"/>
          <w:left w:w="0" w:type="dxa"/>
          <w:bottom w:w="0" w:type="dxa"/>
          <w:right w:w="0" w:type="dxa"/>
        </w:tblCellMar>
      </w:tblPr>
      <w:tblGrid>
        <w:gridCol w:w="1158"/>
        <w:gridCol w:w="6379"/>
        <w:gridCol w:w="1535"/>
      </w:tblGrid>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cs="Arial"/>
                <w:b/>
                <w:kern w:val="0"/>
                <w:sz w:val="24"/>
                <w:szCs w:val="24"/>
              </w:rPr>
            </w:pPr>
            <w:r>
              <w:rPr>
                <w:rFonts w:cs="Arial"/>
                <w:b/>
                <w:kern w:val="0"/>
                <w:sz w:val="24"/>
                <w:szCs w:val="24"/>
              </w:rPr>
              <w:t>Calendar week</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cs="Arial"/>
                <w:b/>
                <w:kern w:val="0"/>
                <w:sz w:val="24"/>
                <w:szCs w:val="24"/>
              </w:rPr>
            </w:pPr>
            <w:r>
              <w:rPr>
                <w:rFonts w:cs="Arial"/>
                <w:b/>
                <w:kern w:val="0"/>
                <w:sz w:val="24"/>
                <w:szCs w:val="24"/>
              </w:rPr>
              <w:t>Teaching content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cs="Arial"/>
                <w:b/>
                <w:kern w:val="0"/>
                <w:sz w:val="24"/>
                <w:szCs w:val="24"/>
              </w:rPr>
            </w:pPr>
            <w:r>
              <w:rPr>
                <w:rFonts w:cs="Arial"/>
                <w:b/>
                <w:kern w:val="0"/>
                <w:sz w:val="24"/>
                <w:szCs w:val="24"/>
              </w:rPr>
              <w:t>Teaching method</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1</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Introduction /History</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cs="Arial"/>
                <w:sz w:val="24"/>
                <w:szCs w:val="24"/>
              </w:rPr>
            </w:pPr>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2</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 xml:space="preserve">NDT Methods </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3</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 xml:space="preserve">Visual Inspection (VT) </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4</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Liquid Penetrant Testing (PT)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5</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 xml:space="preserve">Magnetic Particle Testing (MT) </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6</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Radiographic Testing (RT) &amp; Ultrasonic Testing</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7</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Ultrasonic Testing</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8</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eastAsiaTheme="minorEastAsia"/>
                <w:sz w:val="24"/>
                <w:szCs w:val="24"/>
                <w:lang w:val="en-GB"/>
              </w:rPr>
              <w:t>Eddy Current Testing</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r>
              <w:rPr>
                <w:rFonts w:cs="Arial"/>
                <w:sz w:val="24"/>
                <w:szCs w:val="24"/>
              </w:rPr>
              <w:t>Lecture</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9</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Liquid penetrant test (LPT)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cs="Arial"/>
                <w:sz w:val="24"/>
                <w:szCs w:val="24"/>
              </w:rPr>
            </w:pPr>
            <w:r>
              <w:rPr>
                <w:rFonts w:cs="Arial"/>
                <w:sz w:val="24"/>
                <w:szCs w:val="24"/>
              </w:rPr>
              <w:t>Experiment</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10</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Liquid penetrant test (LPT)&amp; Magnetic particle test (MPT)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11</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Magnetic particle test (MPT)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12</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156" w:beforeLines="50" w:after="156" w:afterLines="50" w:line="288" w:lineRule="auto"/>
              <w:jc w:val="left"/>
              <w:rPr>
                <w:rFonts w:asciiTheme="minorHAnsi" w:hAnsiTheme="minorHAnsi"/>
                <w:sz w:val="24"/>
                <w:szCs w:val="24"/>
                <w:lang w:val="en-GB"/>
              </w:rPr>
            </w:pPr>
            <w:r>
              <w:rPr>
                <w:rFonts w:asciiTheme="minorHAnsi" w:hAnsiTheme="minorHAnsi"/>
                <w:sz w:val="24"/>
                <w:szCs w:val="24"/>
                <w:lang w:val="en-GB"/>
              </w:rPr>
              <w:t>Radiographic test (RT)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kern w:val="0"/>
                <w:sz w:val="24"/>
                <w:szCs w:val="24"/>
              </w:rPr>
            </w:pPr>
            <w:r>
              <w:rPr>
                <w:rFonts w:cs="Arial"/>
                <w:color w:val="000000"/>
                <w:sz w:val="24"/>
                <w:szCs w:val="24"/>
              </w:rPr>
              <w:t>13</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sz w:val="24"/>
                <w:szCs w:val="24"/>
                <w:lang w:val="en-GB"/>
              </w:rPr>
              <w:t>Radiographic test (RT) &amp; Ultrasonic test(UT)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14</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sz w:val="24"/>
                <w:szCs w:val="24"/>
                <w:lang w:val="en-GB"/>
              </w:rPr>
              <w:t>Ultrasonic test(UT)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15</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sz w:val="24"/>
                <w:szCs w:val="24"/>
                <w:lang w:val="en-GB"/>
              </w:rPr>
              <w:t>Ultrasonic test(UT)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16</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asciiTheme="minorHAnsi" w:hAnsiTheme="minorHAnsi"/>
                <w:sz w:val="24"/>
                <w:szCs w:val="24"/>
                <w:lang w:val="en-GB"/>
              </w:rPr>
              <w:t>Ultrasonic test(UT)</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4"/>
                <w:szCs w:val="24"/>
              </w:rPr>
            </w:pPr>
            <w:r>
              <w:rPr>
                <w:sz w:val="24"/>
                <w:szCs w:val="24"/>
              </w:rPr>
              <w:t xml:space="preserve">Experiment </w:t>
            </w: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17</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cs="Arial"/>
                <w:sz w:val="24"/>
                <w:szCs w:val="24"/>
              </w:rPr>
            </w:pPr>
          </w:p>
        </w:tc>
      </w:tr>
      <w:tr>
        <w:tblPrEx>
          <w:tblCellMar>
            <w:top w:w="0" w:type="dxa"/>
            <w:left w:w="0" w:type="dxa"/>
            <w:bottom w:w="0" w:type="dxa"/>
            <w:right w:w="0" w:type="dxa"/>
          </w:tblCellMar>
        </w:tblPrEx>
        <w:trPr>
          <w:trHeight w:val="528" w:hRule="atLeast"/>
        </w:trPr>
        <w:tc>
          <w:tcPr>
            <w:tcW w:w="115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color w:val="000000"/>
                <w:sz w:val="24"/>
                <w:szCs w:val="24"/>
              </w:rPr>
            </w:pPr>
            <w:r>
              <w:rPr>
                <w:rFonts w:cs="Arial"/>
                <w:color w:val="000000"/>
                <w:sz w:val="24"/>
                <w:szCs w:val="24"/>
              </w:rPr>
              <w:t>18</w:t>
            </w:r>
          </w:p>
        </w:tc>
        <w:tc>
          <w:tcPr>
            <w:tcW w:w="637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left"/>
              <w:rPr>
                <w:rFonts w:asciiTheme="minorHAnsi" w:hAnsiTheme="minorHAnsi" w:eastAsiaTheme="minorEastAsia"/>
                <w:sz w:val="24"/>
                <w:szCs w:val="24"/>
                <w:lang w:val="en-GB"/>
              </w:rPr>
            </w:pPr>
            <w:r>
              <w:rPr>
                <w:rFonts w:hint="eastAsia" w:asciiTheme="minorHAnsi" w:hAnsiTheme="minorHAnsi" w:eastAsiaTheme="minorEastAsia"/>
                <w:sz w:val="24"/>
                <w:szCs w:val="24"/>
                <w:lang w:val="en-GB"/>
              </w:rPr>
              <w:t>Exam</w:t>
            </w:r>
          </w:p>
        </w:tc>
        <w:tc>
          <w:tcPr>
            <w:tcW w:w="153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cs="Arial"/>
                <w:sz w:val="24"/>
                <w:szCs w:val="24"/>
              </w:rPr>
            </w:pPr>
            <w:r>
              <w:rPr>
                <w:rFonts w:cs="Arial"/>
                <w:sz w:val="24"/>
                <w:szCs w:val="24"/>
              </w:rPr>
              <w:t>Examination</w:t>
            </w:r>
          </w:p>
        </w:tc>
      </w:tr>
    </w:tbl>
    <w:p>
      <w:pPr>
        <w:widowControl/>
        <w:shd w:val="clear" w:color="auto" w:fill="FFFFFF"/>
        <w:jc w:val="left"/>
        <w:textAlignment w:val="top"/>
        <w:rPr>
          <w:rFonts w:cs="Arial"/>
          <w:sz w:val="24"/>
          <w:szCs w:val="24"/>
        </w:rPr>
      </w:pPr>
    </w:p>
    <w:p>
      <w:pPr>
        <w:snapToGrid w:val="0"/>
        <w:spacing w:line="288" w:lineRule="auto"/>
        <w:rPr>
          <w:rFonts w:asciiTheme="minorHAnsi" w:hAnsiTheme="minorHAnsi"/>
          <w:sz w:val="24"/>
          <w:szCs w:val="24"/>
          <w:lang w:val="en-GB"/>
        </w:rPr>
      </w:pPr>
    </w:p>
    <w:p>
      <w:pPr>
        <w:snapToGrid w:val="0"/>
        <w:spacing w:line="288" w:lineRule="auto"/>
        <w:rPr>
          <w:rFonts w:asciiTheme="minorHAnsi" w:hAnsiTheme="minorHAnsi"/>
          <w:sz w:val="24"/>
          <w:szCs w:val="24"/>
        </w:rPr>
      </w:pPr>
      <w:r>
        <w:rPr>
          <w:rFonts w:asciiTheme="minorHAnsi" w:hAnsiTheme="minorHAnsi"/>
          <w:sz w:val="24"/>
          <w:szCs w:val="24"/>
          <w:lang w:val="en-GB"/>
        </w:rPr>
        <w:t xml:space="preserve">Prepared: Qinghua </w:t>
      </w:r>
      <w:r>
        <w:rPr>
          <w:rFonts w:hint="eastAsia" w:asciiTheme="minorHAnsi" w:hAnsiTheme="minorHAnsi"/>
          <w:sz w:val="24"/>
          <w:szCs w:val="24"/>
          <w:lang w:val="en-GB"/>
        </w:rPr>
        <w:t>Hu</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 xml:space="preserve">Approved: Head of Department: </w:t>
      </w:r>
      <w:r>
        <w:drawing>
          <wp:inline distT="0" distB="0" distL="0" distR="0">
            <wp:extent cx="677545" cy="402590"/>
            <wp:effectExtent l="19050" t="0" r="7876" b="0"/>
            <wp:docPr id="5" name="图片 0" descr="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签名.png"/>
                    <pic:cNvPicPr>
                      <a:picLocks noChangeAspect="1"/>
                    </pic:cNvPicPr>
                  </pic:nvPicPr>
                  <pic:blipFill>
                    <a:blip r:embed="rId4"/>
                    <a:stretch>
                      <a:fillRect/>
                    </a:stretch>
                  </pic:blipFill>
                  <pic:spPr>
                    <a:xfrm>
                      <a:off x="0" y="0"/>
                      <a:ext cx="678555" cy="403465"/>
                    </a:xfrm>
                    <a:prstGeom prst="rect">
                      <a:avLst/>
                    </a:prstGeom>
                  </pic:spPr>
                </pic:pic>
              </a:graphicData>
            </a:graphic>
          </wp:inline>
        </w:drawing>
      </w:r>
    </w:p>
    <w:p>
      <w:pPr>
        <w:snapToGrid w:val="0"/>
        <w:spacing w:line="288" w:lineRule="auto"/>
        <w:rPr>
          <w:rFonts w:asciiTheme="minorHAnsi" w:hAnsiTheme="minorHAnsi"/>
          <w:sz w:val="24"/>
          <w:szCs w:val="24"/>
          <w:lang w:val="en-GB"/>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E2C51"/>
    <w:multiLevelType w:val="multilevel"/>
    <w:tmpl w:val="032E2C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373B97"/>
    <w:multiLevelType w:val="multilevel"/>
    <w:tmpl w:val="14373B9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65A2E94"/>
    <w:multiLevelType w:val="multilevel"/>
    <w:tmpl w:val="165A2E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CE3578"/>
    <w:multiLevelType w:val="multilevel"/>
    <w:tmpl w:val="24CE3578"/>
    <w:lvl w:ilvl="0" w:tentative="0">
      <w:start w:val="1"/>
      <w:numFmt w:val="decimal"/>
      <w:lvlText w:val="%1."/>
      <w:lvlJc w:val="left"/>
      <w:pPr>
        <w:ind w:left="720" w:hanging="360"/>
      </w:pPr>
      <w:rPr>
        <w:rFonts w:hint="default" w:ascii="黑体" w:hAnsi="宋体" w:eastAsia="黑体"/>
        <w:b w:val="0"/>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02377C5"/>
    <w:multiLevelType w:val="multilevel"/>
    <w:tmpl w:val="302377C5"/>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0A563AE"/>
    <w:multiLevelType w:val="multilevel"/>
    <w:tmpl w:val="30A563AE"/>
    <w:lvl w:ilvl="0" w:tentative="0">
      <w:start w:val="1"/>
      <w:numFmt w:val="decimal"/>
      <w:lvlText w:val="[%1]"/>
      <w:lvlJc w:val="left"/>
      <w:pPr>
        <w:ind w:left="720" w:hanging="360"/>
      </w:pPr>
      <w:rPr>
        <w:rFonts w:hint="eastAsia"/>
        <w:b w:val="0"/>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34B12DFC"/>
    <w:multiLevelType w:val="multilevel"/>
    <w:tmpl w:val="34B12DFC"/>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8B35173"/>
    <w:multiLevelType w:val="multilevel"/>
    <w:tmpl w:val="48B35173"/>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BCB4290"/>
    <w:multiLevelType w:val="multilevel"/>
    <w:tmpl w:val="5BCB4290"/>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5E11706E"/>
    <w:multiLevelType w:val="multilevel"/>
    <w:tmpl w:val="5E11706E"/>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3613BC0"/>
    <w:multiLevelType w:val="multilevel"/>
    <w:tmpl w:val="63613BC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603224"/>
    <w:multiLevelType w:val="multilevel"/>
    <w:tmpl w:val="716032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2"/>
  </w:num>
  <w:num w:numId="4">
    <w:abstractNumId w:val="6"/>
  </w:num>
  <w:num w:numId="5">
    <w:abstractNumId w:val="8"/>
  </w:num>
  <w:num w:numId="6">
    <w:abstractNumId w:val="9"/>
  </w:num>
  <w:num w:numId="7">
    <w:abstractNumId w:val="4"/>
  </w:num>
  <w:num w:numId="8">
    <w:abstractNumId w:val="7"/>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Y2I1NTk5MjlkMjA0NzVhYjliNTg4MjA4YTg1NGQifQ=="/>
  </w:docVars>
  <w:rsids>
    <w:rsidRoot w:val="00B7651F"/>
    <w:rsid w:val="000007A7"/>
    <w:rsid w:val="000309A2"/>
    <w:rsid w:val="00032744"/>
    <w:rsid w:val="00040380"/>
    <w:rsid w:val="00062472"/>
    <w:rsid w:val="00063A56"/>
    <w:rsid w:val="00064F12"/>
    <w:rsid w:val="000B1667"/>
    <w:rsid w:val="000B6AA4"/>
    <w:rsid w:val="000E5E21"/>
    <w:rsid w:val="000F12A1"/>
    <w:rsid w:val="000F3C26"/>
    <w:rsid w:val="001072BC"/>
    <w:rsid w:val="00110B1E"/>
    <w:rsid w:val="0011514A"/>
    <w:rsid w:val="00117CD8"/>
    <w:rsid w:val="00160D18"/>
    <w:rsid w:val="00177370"/>
    <w:rsid w:val="001B5CDF"/>
    <w:rsid w:val="001E161D"/>
    <w:rsid w:val="001E676C"/>
    <w:rsid w:val="001F77A6"/>
    <w:rsid w:val="00256B39"/>
    <w:rsid w:val="0026033C"/>
    <w:rsid w:val="00270096"/>
    <w:rsid w:val="002722AA"/>
    <w:rsid w:val="00274753"/>
    <w:rsid w:val="00276DD7"/>
    <w:rsid w:val="00282605"/>
    <w:rsid w:val="00285A62"/>
    <w:rsid w:val="00287C91"/>
    <w:rsid w:val="002C143C"/>
    <w:rsid w:val="002E3721"/>
    <w:rsid w:val="00313BBA"/>
    <w:rsid w:val="003232B2"/>
    <w:rsid w:val="0032602E"/>
    <w:rsid w:val="003367AE"/>
    <w:rsid w:val="00354365"/>
    <w:rsid w:val="0036613A"/>
    <w:rsid w:val="00367332"/>
    <w:rsid w:val="00371BD6"/>
    <w:rsid w:val="003876B9"/>
    <w:rsid w:val="003B1258"/>
    <w:rsid w:val="003C445C"/>
    <w:rsid w:val="004100B0"/>
    <w:rsid w:val="0041188B"/>
    <w:rsid w:val="00412AF2"/>
    <w:rsid w:val="00437DE4"/>
    <w:rsid w:val="004753B1"/>
    <w:rsid w:val="00480035"/>
    <w:rsid w:val="004867FB"/>
    <w:rsid w:val="004B17E7"/>
    <w:rsid w:val="0051325D"/>
    <w:rsid w:val="005466FB"/>
    <w:rsid w:val="005467DC"/>
    <w:rsid w:val="005532E4"/>
    <w:rsid w:val="00553D03"/>
    <w:rsid w:val="00571D66"/>
    <w:rsid w:val="00580D48"/>
    <w:rsid w:val="00593F96"/>
    <w:rsid w:val="005967D0"/>
    <w:rsid w:val="005B2B6D"/>
    <w:rsid w:val="005B4B4E"/>
    <w:rsid w:val="005D197F"/>
    <w:rsid w:val="005D3D3C"/>
    <w:rsid w:val="005F2117"/>
    <w:rsid w:val="005F7258"/>
    <w:rsid w:val="00602455"/>
    <w:rsid w:val="00615EBB"/>
    <w:rsid w:val="00624FE1"/>
    <w:rsid w:val="00637D41"/>
    <w:rsid w:val="00661240"/>
    <w:rsid w:val="0066570B"/>
    <w:rsid w:val="00671A7B"/>
    <w:rsid w:val="006934FB"/>
    <w:rsid w:val="006B3CA5"/>
    <w:rsid w:val="006C7CF0"/>
    <w:rsid w:val="006D536B"/>
    <w:rsid w:val="006E2BE4"/>
    <w:rsid w:val="007079C3"/>
    <w:rsid w:val="0072052E"/>
    <w:rsid w:val="007208D6"/>
    <w:rsid w:val="00777076"/>
    <w:rsid w:val="0078113A"/>
    <w:rsid w:val="00794E22"/>
    <w:rsid w:val="007973B3"/>
    <w:rsid w:val="007A4D2B"/>
    <w:rsid w:val="007B7140"/>
    <w:rsid w:val="007C1DC5"/>
    <w:rsid w:val="007C52EB"/>
    <w:rsid w:val="007D21A6"/>
    <w:rsid w:val="00825385"/>
    <w:rsid w:val="00837D82"/>
    <w:rsid w:val="0085429E"/>
    <w:rsid w:val="00867245"/>
    <w:rsid w:val="008810CA"/>
    <w:rsid w:val="00881CD0"/>
    <w:rsid w:val="008A018E"/>
    <w:rsid w:val="008B397C"/>
    <w:rsid w:val="008B47F4"/>
    <w:rsid w:val="008D587C"/>
    <w:rsid w:val="008D7B1F"/>
    <w:rsid w:val="008F1901"/>
    <w:rsid w:val="00900019"/>
    <w:rsid w:val="00950DBF"/>
    <w:rsid w:val="00965D79"/>
    <w:rsid w:val="0099063E"/>
    <w:rsid w:val="009A344D"/>
    <w:rsid w:val="009A7172"/>
    <w:rsid w:val="00A06CA8"/>
    <w:rsid w:val="00A13B55"/>
    <w:rsid w:val="00A17DF2"/>
    <w:rsid w:val="00A41363"/>
    <w:rsid w:val="00A41D15"/>
    <w:rsid w:val="00A4461C"/>
    <w:rsid w:val="00A55302"/>
    <w:rsid w:val="00A55DE9"/>
    <w:rsid w:val="00A70A73"/>
    <w:rsid w:val="00A769B1"/>
    <w:rsid w:val="00AB095B"/>
    <w:rsid w:val="00AC4C45"/>
    <w:rsid w:val="00AD58DE"/>
    <w:rsid w:val="00AF2C2C"/>
    <w:rsid w:val="00B014CD"/>
    <w:rsid w:val="00B12AB5"/>
    <w:rsid w:val="00B31B70"/>
    <w:rsid w:val="00B43921"/>
    <w:rsid w:val="00B46F21"/>
    <w:rsid w:val="00B511A5"/>
    <w:rsid w:val="00B736A7"/>
    <w:rsid w:val="00B7651F"/>
    <w:rsid w:val="00B92CAE"/>
    <w:rsid w:val="00BC5902"/>
    <w:rsid w:val="00BE22E9"/>
    <w:rsid w:val="00BE5BF6"/>
    <w:rsid w:val="00C151F5"/>
    <w:rsid w:val="00C46ADF"/>
    <w:rsid w:val="00C56E09"/>
    <w:rsid w:val="00C61701"/>
    <w:rsid w:val="00C61E02"/>
    <w:rsid w:val="00CA5B68"/>
    <w:rsid w:val="00CD4CC4"/>
    <w:rsid w:val="00CE1718"/>
    <w:rsid w:val="00CF096B"/>
    <w:rsid w:val="00D03AEB"/>
    <w:rsid w:val="00D408D8"/>
    <w:rsid w:val="00D4231D"/>
    <w:rsid w:val="00D90F02"/>
    <w:rsid w:val="00D92A30"/>
    <w:rsid w:val="00DB0A62"/>
    <w:rsid w:val="00DB5160"/>
    <w:rsid w:val="00DB7433"/>
    <w:rsid w:val="00DC4C7A"/>
    <w:rsid w:val="00DE181A"/>
    <w:rsid w:val="00DE23D0"/>
    <w:rsid w:val="00E1040B"/>
    <w:rsid w:val="00E127AE"/>
    <w:rsid w:val="00E16D30"/>
    <w:rsid w:val="00E3142B"/>
    <w:rsid w:val="00E33169"/>
    <w:rsid w:val="00E40FBF"/>
    <w:rsid w:val="00E52E34"/>
    <w:rsid w:val="00E628DF"/>
    <w:rsid w:val="00E70904"/>
    <w:rsid w:val="00E76A4D"/>
    <w:rsid w:val="00EB736D"/>
    <w:rsid w:val="00EC0FFC"/>
    <w:rsid w:val="00EE26A5"/>
    <w:rsid w:val="00EF44B1"/>
    <w:rsid w:val="00F218E3"/>
    <w:rsid w:val="00F35AA0"/>
    <w:rsid w:val="00F41AD5"/>
    <w:rsid w:val="00F50119"/>
    <w:rsid w:val="00F5614E"/>
    <w:rsid w:val="00F62CAA"/>
    <w:rsid w:val="00F70114"/>
    <w:rsid w:val="00F73A90"/>
    <w:rsid w:val="00F928D3"/>
    <w:rsid w:val="00FA4789"/>
    <w:rsid w:val="00FD0553"/>
    <w:rsid w:val="024B0C39"/>
    <w:rsid w:val="0A8128A6"/>
    <w:rsid w:val="0BF32A1B"/>
    <w:rsid w:val="10BD2C22"/>
    <w:rsid w:val="22987C80"/>
    <w:rsid w:val="24192CCC"/>
    <w:rsid w:val="39A66CD4"/>
    <w:rsid w:val="3CD52CE1"/>
    <w:rsid w:val="410F2E6A"/>
    <w:rsid w:val="4430136C"/>
    <w:rsid w:val="4AB0382B"/>
    <w:rsid w:val="51736D05"/>
    <w:rsid w:val="569868B5"/>
    <w:rsid w:val="611F6817"/>
    <w:rsid w:val="66CA1754"/>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1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uiPriority w:val="99"/>
    <w:pPr>
      <w:ind w:left="720"/>
      <w:contextualSpacing/>
    </w:pPr>
  </w:style>
  <w:style w:type="character" w:customStyle="1" w:styleId="12">
    <w:name w:val="HTML 预设格式 字符"/>
    <w:basedOn w:val="7"/>
    <w:link w:val="4"/>
    <w:semiHidden/>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753</Words>
  <Characters>4297</Characters>
  <Lines>35</Lines>
  <Paragraphs>10</Paragraphs>
  <TotalTime>26</TotalTime>
  <ScaleCrop>false</ScaleCrop>
  <LinksUpToDate>false</LinksUpToDate>
  <CharactersWithSpaces>5040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2019-03-04T11:27:00Z</dcterms:created>
  <dc:creator>juvg</dc:creator>
  <cp:lastModifiedBy>Lccccc</cp:lastModifiedBy>
  <dcterms:modified xsi:type="dcterms:W3CDTF">2023-09-14T06:22:24Z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240942839ADA4E008C95AA7A29DBCE5E_13</vt:lpwstr>
  </property>
</Properties>
</file>